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363C9" w14:textId="77777777" w:rsidR="00575562" w:rsidRPr="00E473E3" w:rsidRDefault="00575562" w:rsidP="00575562">
      <w:pPr>
        <w:pStyle w:val="Nagwek2"/>
        <w:rPr>
          <w:rFonts w:ascii="Arial" w:hAnsi="Arial" w:cs="Arial"/>
        </w:rPr>
      </w:pPr>
      <w:bookmarkStart w:id="0" w:name="_Toc116541233"/>
      <w:r w:rsidRPr="00E473E3">
        <w:rPr>
          <w:rFonts w:ascii="Arial" w:hAnsi="Arial" w:cs="Arial"/>
        </w:rPr>
        <w:t xml:space="preserve">WYKAZ PODSTAWOWYCH DOKUMENTÓW NORMATYWNYCH </w:t>
      </w:r>
      <w:r w:rsidRPr="00E473E3">
        <w:rPr>
          <w:rFonts w:ascii="Arial" w:hAnsi="Arial" w:cs="Arial"/>
        </w:rPr>
        <w:br/>
        <w:t>W OPARCIU O KTÓRE MOŻE BYĆ PROWADZONA KONTROLA.</w:t>
      </w:r>
      <w:bookmarkEnd w:id="0"/>
    </w:p>
    <w:p w14:paraId="3547CFB7" w14:textId="77777777" w:rsidR="00575562" w:rsidRPr="00E473E3" w:rsidRDefault="00575562" w:rsidP="00575562">
      <w:pPr>
        <w:spacing w:after="0"/>
        <w:rPr>
          <w:lang w:eastAsia="pl-PL"/>
        </w:rPr>
      </w:pPr>
    </w:p>
    <w:p w14:paraId="1EF87414" w14:textId="77777777" w:rsidR="00575562" w:rsidRPr="00E473E3" w:rsidRDefault="00575562" w:rsidP="0057556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>Akty prawne:</w:t>
      </w:r>
    </w:p>
    <w:p w14:paraId="3C89D984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Ustawa z dnia 7 lipca 1994 r. Prawo budowlane (Dz. U. z 2021 r. poz. 2351, </w:t>
      </w:r>
      <w:r w:rsidRPr="00E473E3">
        <w:rPr>
          <w:rFonts w:ascii="Arial" w:hAnsi="Arial" w:cs="Arial"/>
          <w:sz w:val="24"/>
          <w:szCs w:val="24"/>
        </w:rPr>
        <w:br/>
        <w:t xml:space="preserve">z </w:t>
      </w:r>
      <w:r w:rsidR="00A57EA9" w:rsidRPr="00E473E3">
        <w:rPr>
          <w:rFonts w:ascii="Arial" w:hAnsi="Arial" w:cs="Arial"/>
          <w:sz w:val="24"/>
          <w:szCs w:val="24"/>
        </w:rPr>
        <w:t>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0F6A63EA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Ustawa z dnia 10 lipca 2015 r. o Agencji Mienia Wojskowego </w:t>
      </w:r>
      <w:r w:rsidRPr="00E473E3">
        <w:rPr>
          <w:rFonts w:ascii="Arial" w:hAnsi="Arial" w:cs="Arial"/>
          <w:sz w:val="24"/>
          <w:szCs w:val="24"/>
        </w:rPr>
        <w:br/>
        <w:t xml:space="preserve">(Dz.U. z </w:t>
      </w:r>
      <w:r w:rsidR="00A57EA9" w:rsidRPr="00E473E3">
        <w:rPr>
          <w:rFonts w:ascii="Arial" w:hAnsi="Arial" w:cs="Arial"/>
          <w:sz w:val="24"/>
          <w:szCs w:val="24"/>
        </w:rPr>
        <w:t>2022 r. poz. 2061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7F87BC01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Ustawa z dnia 11 września 2019 r. Prawo zamówień publicznych </w:t>
      </w:r>
      <w:r w:rsidRPr="00E473E3">
        <w:rPr>
          <w:rFonts w:ascii="Arial" w:hAnsi="Arial" w:cs="Arial"/>
          <w:sz w:val="24"/>
          <w:szCs w:val="24"/>
        </w:rPr>
        <w:br/>
        <w:t>(Dz.U. z 2022 poz. 1710</w:t>
      </w:r>
      <w:r w:rsidR="00A57EA9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154474D1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Ustawa z dnia 17 maja 1989 r. Prawo geodezyjne i kartograficzne </w:t>
      </w:r>
      <w:r w:rsidRPr="00E473E3">
        <w:rPr>
          <w:rFonts w:ascii="Arial" w:hAnsi="Arial" w:cs="Arial"/>
          <w:sz w:val="24"/>
          <w:szCs w:val="24"/>
        </w:rPr>
        <w:br/>
        <w:t>(Dz.U z 2021 poz. 1990</w:t>
      </w:r>
      <w:r w:rsidR="00A57EA9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7E42328A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</w:t>
      </w:r>
      <w:r w:rsidR="00A57EA9" w:rsidRPr="00E473E3">
        <w:rPr>
          <w:rFonts w:ascii="Arial" w:hAnsi="Arial" w:cs="Arial"/>
          <w:sz w:val="24"/>
          <w:szCs w:val="24"/>
        </w:rPr>
        <w:t>Rozwoju i Technologii z dnia 15 grudnia 2022 r.</w:t>
      </w:r>
      <w:r w:rsidRPr="00E473E3">
        <w:rPr>
          <w:rFonts w:ascii="Arial" w:hAnsi="Arial" w:cs="Arial"/>
          <w:sz w:val="24"/>
          <w:szCs w:val="24"/>
        </w:rPr>
        <w:t xml:space="preserve"> </w:t>
      </w:r>
      <w:r w:rsidR="00C74BA7">
        <w:rPr>
          <w:rFonts w:ascii="Arial" w:hAnsi="Arial" w:cs="Arial"/>
          <w:sz w:val="24"/>
          <w:szCs w:val="24"/>
        </w:rPr>
        <w:br/>
      </w:r>
      <w:r w:rsidRPr="00E473E3">
        <w:rPr>
          <w:rFonts w:ascii="Arial" w:hAnsi="Arial" w:cs="Arial"/>
          <w:sz w:val="24"/>
          <w:szCs w:val="24"/>
        </w:rPr>
        <w:t xml:space="preserve">w sprawie książki obiektu budowlanego </w:t>
      </w:r>
      <w:r w:rsidR="00A57EA9" w:rsidRPr="00E473E3">
        <w:rPr>
          <w:rFonts w:ascii="Arial" w:hAnsi="Arial" w:cs="Arial"/>
          <w:sz w:val="24"/>
          <w:szCs w:val="24"/>
        </w:rPr>
        <w:t xml:space="preserve">oraz systemu Cyfrowa Książka Obiektu Budowlanego </w:t>
      </w:r>
      <w:r w:rsidRPr="00E473E3">
        <w:rPr>
          <w:rFonts w:ascii="Arial" w:hAnsi="Arial" w:cs="Arial"/>
          <w:sz w:val="24"/>
          <w:szCs w:val="24"/>
        </w:rPr>
        <w:t xml:space="preserve">(Dz.U. poz. </w:t>
      </w:r>
      <w:r w:rsidR="00A57EA9" w:rsidRPr="00E473E3">
        <w:rPr>
          <w:rFonts w:ascii="Arial" w:hAnsi="Arial" w:cs="Arial"/>
          <w:sz w:val="24"/>
          <w:szCs w:val="24"/>
        </w:rPr>
        <w:t>2778</w:t>
      </w:r>
      <w:r w:rsidRPr="00E473E3">
        <w:rPr>
          <w:rFonts w:ascii="Arial" w:hAnsi="Arial" w:cs="Arial"/>
          <w:sz w:val="24"/>
          <w:szCs w:val="24"/>
        </w:rPr>
        <w:t>)</w:t>
      </w:r>
    </w:p>
    <w:p w14:paraId="4C99D650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Spraw Wewnętrznych i Administracji z dnia </w:t>
      </w:r>
      <w:r w:rsidRPr="00E473E3">
        <w:rPr>
          <w:rFonts w:ascii="Arial" w:hAnsi="Arial" w:cs="Arial"/>
          <w:sz w:val="24"/>
          <w:szCs w:val="24"/>
        </w:rPr>
        <w:br/>
        <w:t xml:space="preserve">16 sierpnia 1999 r. w sprawie warunków technicznych użytkowania budynków mieszkalnych (Dz.U </w:t>
      </w:r>
      <w:r w:rsidR="00FF601D" w:rsidRPr="00E473E3">
        <w:rPr>
          <w:rFonts w:ascii="Arial" w:hAnsi="Arial" w:cs="Arial"/>
          <w:sz w:val="24"/>
          <w:szCs w:val="24"/>
        </w:rPr>
        <w:t xml:space="preserve">Nr 74 poz. </w:t>
      </w:r>
      <w:r w:rsidRPr="00E473E3">
        <w:rPr>
          <w:rFonts w:ascii="Arial" w:hAnsi="Arial" w:cs="Arial"/>
          <w:sz w:val="24"/>
          <w:szCs w:val="24"/>
        </w:rPr>
        <w:t>836</w:t>
      </w:r>
      <w:r w:rsidR="00FF601D" w:rsidRPr="00E473E3">
        <w:rPr>
          <w:rFonts w:ascii="Arial" w:hAnsi="Arial" w:cs="Arial"/>
          <w:sz w:val="24"/>
          <w:szCs w:val="24"/>
        </w:rPr>
        <w:t>,</w:t>
      </w:r>
      <w:r w:rsidRPr="00E473E3">
        <w:rPr>
          <w:rFonts w:ascii="Arial" w:hAnsi="Arial" w:cs="Arial"/>
          <w:sz w:val="24"/>
          <w:szCs w:val="24"/>
        </w:rPr>
        <w:t xml:space="preserve"> z </w:t>
      </w:r>
      <w:r w:rsidR="00FF601D" w:rsidRPr="00E473E3">
        <w:rPr>
          <w:rFonts w:ascii="Arial" w:hAnsi="Arial" w:cs="Arial"/>
          <w:sz w:val="24"/>
          <w:szCs w:val="24"/>
        </w:rPr>
        <w:t>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44BF9068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>Rozporządzenie Ministra Infrastruktury z dnia 12 kwietnia 2002 w sprawie warunków technicznych, jakim powinny odpowiadać budynki i ich usytuowanie (Dz.U. z 2022 poz. 1225).</w:t>
      </w:r>
    </w:p>
    <w:p w14:paraId="0413BB5A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Infrastruktury z dnia 26 października 2005 r. </w:t>
      </w:r>
      <w:r w:rsidRPr="00E473E3">
        <w:rPr>
          <w:rFonts w:ascii="Arial" w:hAnsi="Arial" w:cs="Arial"/>
          <w:sz w:val="24"/>
          <w:szCs w:val="24"/>
        </w:rPr>
        <w:br/>
        <w:t xml:space="preserve">w sprawie warunków technicznych, jakim powinny odpowiadać telekomunikacyjne obiekty budowlane i ich usytuowanie (Dz.U. </w:t>
      </w:r>
      <w:r w:rsidR="00FF601D" w:rsidRPr="00E473E3">
        <w:rPr>
          <w:rFonts w:ascii="Arial" w:hAnsi="Arial" w:cs="Arial"/>
          <w:sz w:val="24"/>
          <w:szCs w:val="24"/>
        </w:rPr>
        <w:t>Nr 219 poz. 1864, z późn. zm.</w:t>
      </w:r>
      <w:r w:rsidRPr="00E473E3">
        <w:rPr>
          <w:rFonts w:ascii="Arial" w:hAnsi="Arial" w:cs="Arial"/>
          <w:sz w:val="24"/>
          <w:szCs w:val="24"/>
        </w:rPr>
        <w:t>)</w:t>
      </w:r>
    </w:p>
    <w:p w14:paraId="04072FCF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Środowiska z dnia 20 kwietnia 2007 r. w sprawie warunków technicznych, jakim powinny odpowiadać budowle hydrotechniczne </w:t>
      </w:r>
      <w:r w:rsidRPr="00E473E3">
        <w:rPr>
          <w:rFonts w:ascii="Arial" w:hAnsi="Arial" w:cs="Arial"/>
          <w:sz w:val="24"/>
          <w:szCs w:val="24"/>
        </w:rPr>
        <w:br/>
        <w:t xml:space="preserve">i ich usytuowanie (Dz.U. </w:t>
      </w:r>
      <w:r w:rsidR="00FF601D" w:rsidRPr="00E473E3">
        <w:rPr>
          <w:rFonts w:ascii="Arial" w:hAnsi="Arial" w:cs="Arial"/>
          <w:sz w:val="24"/>
          <w:szCs w:val="24"/>
        </w:rPr>
        <w:t>Nr 86</w:t>
      </w:r>
      <w:r w:rsidRPr="00E473E3">
        <w:rPr>
          <w:rFonts w:ascii="Arial" w:hAnsi="Arial" w:cs="Arial"/>
          <w:sz w:val="24"/>
          <w:szCs w:val="24"/>
        </w:rPr>
        <w:t xml:space="preserve"> poz. 579).</w:t>
      </w:r>
    </w:p>
    <w:p w14:paraId="22C1CFF3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Transportu i Gospodarki Morskiej z dnia 1 czerwca 1998 r. w sprawie warunków technicznych, jakim powinny odpowiadać morskie budowle hydrotechniczne i ich usytuowanie (Dz.U. </w:t>
      </w:r>
      <w:r w:rsidR="00FF601D" w:rsidRPr="00E473E3">
        <w:rPr>
          <w:rFonts w:ascii="Arial" w:hAnsi="Arial" w:cs="Arial"/>
          <w:sz w:val="24"/>
          <w:szCs w:val="24"/>
        </w:rPr>
        <w:t>Nr 101</w:t>
      </w:r>
      <w:r w:rsidRPr="00E473E3">
        <w:rPr>
          <w:rFonts w:ascii="Arial" w:hAnsi="Arial" w:cs="Arial"/>
          <w:sz w:val="24"/>
          <w:szCs w:val="24"/>
        </w:rPr>
        <w:t xml:space="preserve"> poz. 645).</w:t>
      </w:r>
    </w:p>
    <w:p w14:paraId="00535627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Gospodarki z dnia 26 kwietnia 2013 r. w sprawie warunków technicznych, jakim powinny odpowiadać sieci gazowe </w:t>
      </w:r>
      <w:r w:rsidRPr="00E473E3">
        <w:rPr>
          <w:rFonts w:ascii="Arial" w:hAnsi="Arial" w:cs="Arial"/>
          <w:sz w:val="24"/>
          <w:szCs w:val="24"/>
        </w:rPr>
        <w:br/>
        <w:t>i ich usytuowanie (Dz.U. poz. 640).</w:t>
      </w:r>
    </w:p>
    <w:p w14:paraId="181CC47A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lastRenderedPageBreak/>
        <w:t>Rozporządzenie Ministra Transportu i Gospodarki Morskiej z dnia 10 września 1998 r. w sprawie warunków technicznych, jakim powinny odpowiadać budowle kolejowe i ich usytuowanie (Dz.U.</w:t>
      </w:r>
      <w:r w:rsidR="00FF601D" w:rsidRPr="00E473E3">
        <w:rPr>
          <w:rFonts w:ascii="Arial" w:hAnsi="Arial" w:cs="Arial"/>
          <w:sz w:val="24"/>
          <w:szCs w:val="24"/>
        </w:rPr>
        <w:t xml:space="preserve"> Nr 151</w:t>
      </w:r>
      <w:r w:rsidRPr="00E473E3">
        <w:rPr>
          <w:rFonts w:ascii="Arial" w:hAnsi="Arial" w:cs="Arial"/>
          <w:sz w:val="24"/>
          <w:szCs w:val="24"/>
        </w:rPr>
        <w:t xml:space="preserve"> poz. 987</w:t>
      </w:r>
      <w:r w:rsidR="00FF601D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22AA398A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Infrastruktury i Rozwoju z dnia 20 października </w:t>
      </w:r>
      <w:r w:rsidRPr="00E473E3">
        <w:rPr>
          <w:rFonts w:ascii="Arial" w:hAnsi="Arial" w:cs="Arial"/>
          <w:sz w:val="24"/>
          <w:szCs w:val="24"/>
        </w:rPr>
        <w:br/>
        <w:t xml:space="preserve">2015 r. w sprawie warunków technicznych jakim powinny odpowiadać skrzyżowania linii kolejowych oraz bocznic kolejowych z drogami </w:t>
      </w:r>
      <w:r w:rsidRPr="00E473E3">
        <w:rPr>
          <w:rFonts w:ascii="Arial" w:hAnsi="Arial" w:cs="Arial"/>
          <w:sz w:val="24"/>
          <w:szCs w:val="24"/>
        </w:rPr>
        <w:br/>
        <w:t>i ich usytuowanie (Dz.U. poz. 1744</w:t>
      </w:r>
      <w:r w:rsidR="00FF601D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776E3455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Łączności z dnia 21 kwietnia 1995 r. w sprawie warunków technicznych zasilania energią elektryczną obiektów budowlanych łączności (Dz.U. </w:t>
      </w:r>
      <w:r w:rsidR="000B0F8B" w:rsidRPr="00E473E3">
        <w:rPr>
          <w:rFonts w:ascii="Arial" w:hAnsi="Arial" w:cs="Arial"/>
          <w:sz w:val="24"/>
          <w:szCs w:val="24"/>
        </w:rPr>
        <w:t>Nr 50</w:t>
      </w:r>
      <w:r w:rsidRPr="00E473E3">
        <w:rPr>
          <w:rFonts w:ascii="Arial" w:hAnsi="Arial" w:cs="Arial"/>
          <w:sz w:val="24"/>
          <w:szCs w:val="24"/>
        </w:rPr>
        <w:t xml:space="preserve"> poz. 271).</w:t>
      </w:r>
    </w:p>
    <w:p w14:paraId="59DAA50D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Obrony Narodowej z dnia 2 sierpnia 1996 r. </w:t>
      </w:r>
      <w:r w:rsidRPr="00E473E3">
        <w:rPr>
          <w:rFonts w:ascii="Arial" w:hAnsi="Arial" w:cs="Arial"/>
          <w:sz w:val="24"/>
          <w:szCs w:val="24"/>
        </w:rPr>
        <w:br/>
        <w:t xml:space="preserve">w sprawie warunków technicznych, jakim powinny odpowiadać obiekty budowlane nie będące budynkami, służące obronności Państwa </w:t>
      </w:r>
      <w:r w:rsidRPr="00E473E3">
        <w:rPr>
          <w:rFonts w:ascii="Arial" w:hAnsi="Arial" w:cs="Arial"/>
          <w:sz w:val="24"/>
          <w:szCs w:val="24"/>
        </w:rPr>
        <w:br/>
        <w:t>oraz ich usytuowanie (Dz.U. 2017 poz. 711).</w:t>
      </w:r>
    </w:p>
    <w:p w14:paraId="33FACD73" w14:textId="77777777" w:rsidR="000B0F8B" w:rsidRPr="00E473E3" w:rsidRDefault="000B0F8B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Infrastruktury z dnia 24 czerwca 2022 r. w sprawie przepisów techniczno-budowlanych dotyczących dróg publicznych (Dz. U. poz. 1518). </w:t>
      </w:r>
    </w:p>
    <w:p w14:paraId="37A87391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Gospodarki z dnia 26 kwietnia 2013 r. w sprawie warunków technicznych, jakim powinny odpowiadać sieci gazowe </w:t>
      </w:r>
      <w:r w:rsidRPr="00E473E3">
        <w:rPr>
          <w:rFonts w:ascii="Arial" w:hAnsi="Arial" w:cs="Arial"/>
          <w:sz w:val="24"/>
          <w:szCs w:val="24"/>
        </w:rPr>
        <w:br/>
        <w:t>i ich usytuowanie (Dz.U. poz. 640).</w:t>
      </w:r>
    </w:p>
    <w:p w14:paraId="546663C2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Obrony Narodowej z dnia 4 października 2001 r. </w:t>
      </w:r>
      <w:r w:rsidRPr="00E473E3">
        <w:rPr>
          <w:rFonts w:ascii="Arial" w:hAnsi="Arial" w:cs="Arial"/>
          <w:sz w:val="24"/>
          <w:szCs w:val="24"/>
        </w:rPr>
        <w:br/>
        <w:t>w sprawie warunków technicznych, jakim powinny odpowiadać strzelnice garnizonowe i ich usytuowanie (Dz.U. poz. 1479</w:t>
      </w:r>
      <w:r w:rsidR="000B0F8B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770DDA65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Rozporządzenie Ministra Gospodarki z dnia 21 listopada 2005 r. w sprawie warunków technicznych, jakim powinny odpowiadać bazy i stacje paliw płynnych, rurociągi przesyłowe dalekosiężne do transportu ropy naftowej </w:t>
      </w:r>
      <w:r w:rsidRPr="00E473E3">
        <w:rPr>
          <w:rFonts w:ascii="Arial" w:hAnsi="Arial" w:cs="Arial"/>
          <w:sz w:val="24"/>
          <w:szCs w:val="24"/>
        </w:rPr>
        <w:br/>
        <w:t>i produktów naftowych i ich usytuowanie (Dz.U. 2014 poz. 1853</w:t>
      </w:r>
      <w:r w:rsidR="000B0F8B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69805B7C" w14:textId="77777777" w:rsidR="00575562" w:rsidRPr="00E473E3" w:rsidRDefault="00575562" w:rsidP="005755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>Rozporządzeniem Ministra Transportu i Gospodarki Morskiej z dnia 31 sierpnia 1998 r. w sprawie przepisów techniczno – budowlanych dla lotnisk cywilnych (Dz.U.</w:t>
      </w:r>
      <w:r w:rsidR="00037B25" w:rsidRPr="00E473E3">
        <w:rPr>
          <w:rFonts w:ascii="Arial" w:hAnsi="Arial" w:cs="Arial"/>
          <w:sz w:val="24"/>
          <w:szCs w:val="24"/>
        </w:rPr>
        <w:t xml:space="preserve"> Nr </w:t>
      </w:r>
      <w:r w:rsidRPr="00E473E3">
        <w:rPr>
          <w:rFonts w:ascii="Arial" w:hAnsi="Arial" w:cs="Arial"/>
          <w:sz w:val="24"/>
          <w:szCs w:val="24"/>
        </w:rPr>
        <w:t>130</w:t>
      </w:r>
      <w:r w:rsidR="00037B25" w:rsidRPr="00E473E3">
        <w:rPr>
          <w:rFonts w:ascii="Arial" w:hAnsi="Arial" w:cs="Arial"/>
          <w:sz w:val="24"/>
          <w:szCs w:val="24"/>
        </w:rPr>
        <w:t xml:space="preserve"> poz</w:t>
      </w:r>
      <w:r w:rsidRPr="00E473E3">
        <w:rPr>
          <w:rFonts w:ascii="Arial" w:hAnsi="Arial" w:cs="Arial"/>
          <w:sz w:val="24"/>
          <w:szCs w:val="24"/>
        </w:rPr>
        <w:t>.859</w:t>
      </w:r>
      <w:r w:rsidR="00037B25" w:rsidRPr="00E473E3">
        <w:rPr>
          <w:rFonts w:ascii="Arial" w:hAnsi="Arial" w:cs="Arial"/>
          <w:sz w:val="24"/>
          <w:szCs w:val="24"/>
        </w:rPr>
        <w:t>, z późn. zm.</w:t>
      </w:r>
      <w:r w:rsidRPr="00E473E3">
        <w:rPr>
          <w:rFonts w:ascii="Arial" w:hAnsi="Arial" w:cs="Arial"/>
          <w:sz w:val="24"/>
          <w:szCs w:val="24"/>
        </w:rPr>
        <w:t>).</w:t>
      </w:r>
    </w:p>
    <w:p w14:paraId="7C429B8E" w14:textId="77777777" w:rsidR="00575562" w:rsidRPr="00E473E3" w:rsidRDefault="00575562" w:rsidP="0057556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22568BED" w14:textId="77777777" w:rsidR="00575562" w:rsidRPr="00E473E3" w:rsidRDefault="00575562" w:rsidP="0057556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>Dokumenty normatywne resortu obrony narodowej:</w:t>
      </w:r>
    </w:p>
    <w:p w14:paraId="6D42C7F4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Zarządzenie </w:t>
      </w:r>
      <w:r w:rsidR="001D5FB5" w:rsidRPr="00E473E3">
        <w:rPr>
          <w:rFonts w:ascii="Arial" w:hAnsi="Arial" w:cs="Arial"/>
          <w:sz w:val="24"/>
          <w:szCs w:val="24"/>
        </w:rPr>
        <w:t>N</w:t>
      </w:r>
      <w:r w:rsidRPr="00E473E3">
        <w:rPr>
          <w:rFonts w:ascii="Arial" w:hAnsi="Arial" w:cs="Arial"/>
          <w:sz w:val="24"/>
          <w:szCs w:val="24"/>
        </w:rPr>
        <w:t xml:space="preserve">r 22/MON Ministra Obrony Narodowej z dnia 7 lipca 2016 r. </w:t>
      </w:r>
      <w:r w:rsidRPr="00E473E3">
        <w:rPr>
          <w:rFonts w:ascii="Arial" w:hAnsi="Arial" w:cs="Arial"/>
          <w:sz w:val="24"/>
          <w:szCs w:val="24"/>
        </w:rPr>
        <w:br/>
        <w:t xml:space="preserve">w sprawie sposobu zarządzania nieruchomościami przeznaczonymi </w:t>
      </w:r>
      <w:r w:rsidRPr="00E473E3">
        <w:rPr>
          <w:rFonts w:ascii="Arial" w:hAnsi="Arial" w:cs="Arial"/>
          <w:sz w:val="24"/>
          <w:szCs w:val="24"/>
        </w:rPr>
        <w:br/>
      </w:r>
      <w:r w:rsidRPr="00E473E3">
        <w:rPr>
          <w:rFonts w:ascii="Arial" w:hAnsi="Arial" w:cs="Arial"/>
          <w:sz w:val="24"/>
          <w:szCs w:val="24"/>
        </w:rPr>
        <w:lastRenderedPageBreak/>
        <w:t>na zakwaterowanie oraz właściwości organów wojskowych i norm rozmieszczenia</w:t>
      </w:r>
      <w:r w:rsidR="001D5FB5" w:rsidRPr="00E473E3">
        <w:rPr>
          <w:rFonts w:ascii="Arial" w:hAnsi="Arial" w:cs="Arial"/>
          <w:sz w:val="24"/>
          <w:szCs w:val="24"/>
        </w:rPr>
        <w:t xml:space="preserve"> (Dz. Urz. Min. Obr. Nar. poz. 122)</w:t>
      </w:r>
    </w:p>
    <w:p w14:paraId="35FDD912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Decyzja nr 38/Log./P4 Ministra Obrony Narodowej z dnia 2 czerwca 2015 r. </w:t>
      </w:r>
      <w:r w:rsidRPr="00E473E3">
        <w:rPr>
          <w:rFonts w:ascii="Arial" w:hAnsi="Arial" w:cs="Arial"/>
          <w:sz w:val="24"/>
          <w:szCs w:val="24"/>
        </w:rPr>
        <w:br/>
        <w:t>w sprawie wprowadzenia w resorcie obrony narodowej „Podziału kompetencji pomiędzy jednostkami organizacyjnymi resortu obrony narodowej realizującymi zadania w zakresie logistycznego podsystemu infrastruktury”.</w:t>
      </w:r>
    </w:p>
    <w:p w14:paraId="667D6413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Załącznik do decyzji nr 3//Log./P4 z dnia 02 czerwca 2015 r. „Podziału kompetencji pomiędzy jednostkami organizacyjnymi resortu obrony narodowej realizującymi zadania w zakresie logistycznego podsystemu infrastruktury. </w:t>
      </w:r>
      <w:r w:rsidRPr="00E473E3">
        <w:rPr>
          <w:rFonts w:ascii="Arial" w:hAnsi="Arial" w:cs="Arial"/>
          <w:sz w:val="24"/>
          <w:szCs w:val="24"/>
        </w:rPr>
        <w:br/>
        <w:t>DU-4.23.1.5”.</w:t>
      </w:r>
    </w:p>
    <w:p w14:paraId="73751340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„Doktryna logistyczna Sił Zbrojnych RP. D-4(B) wersja 2”. </w:t>
      </w:r>
      <w:r w:rsidRPr="00E473E3">
        <w:rPr>
          <w:rFonts w:ascii="Arial" w:hAnsi="Arial" w:cs="Arial"/>
          <w:sz w:val="24"/>
          <w:szCs w:val="24"/>
        </w:rPr>
        <w:br/>
        <w:t>Sygn. Szkol. 965/2019.</w:t>
      </w:r>
    </w:p>
    <w:p w14:paraId="6D708318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73E3">
        <w:rPr>
          <w:rFonts w:ascii="Arial" w:hAnsi="Arial" w:cs="Arial"/>
          <w:sz w:val="24"/>
          <w:szCs w:val="24"/>
        </w:rPr>
        <w:t xml:space="preserve">„Instrukcja o zasadach utrzymania nieruchomości wojska”. </w:t>
      </w:r>
      <w:r w:rsidRPr="00E473E3">
        <w:rPr>
          <w:rFonts w:ascii="Arial" w:hAnsi="Arial" w:cs="Arial"/>
          <w:sz w:val="24"/>
          <w:szCs w:val="24"/>
        </w:rPr>
        <w:br/>
        <w:t>Sygn. Kwat.Bud.118/98.</w:t>
      </w:r>
    </w:p>
    <w:p w14:paraId="106231DF" w14:textId="77777777" w:rsidR="00575562" w:rsidRPr="00E473E3" w:rsidRDefault="00575562" w:rsidP="00575562">
      <w:pPr>
        <w:pStyle w:val="Akapitzlist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NO-17-A204: 2015 Lotniskowe nawierzchnie betonowe. Wymagania i metody badań nawierzchni z betonu cementowego.</w:t>
      </w:r>
    </w:p>
    <w:p w14:paraId="221FFF1F" w14:textId="77777777" w:rsidR="00575562" w:rsidRPr="00E473E3" w:rsidRDefault="00575562" w:rsidP="00575562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NO-17-A200: 2017 Nawierzchnie lotniskowe. Nawierzchnie z betonu asfaltowego. Wymagania i badania.</w:t>
      </w:r>
    </w:p>
    <w:p w14:paraId="408B0A33" w14:textId="77777777" w:rsidR="00575562" w:rsidRPr="00E473E3" w:rsidRDefault="00575562" w:rsidP="00575562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NO-17-A500: 2016 Nawierzchnie lotniskowe i drogowe. Badania nośności.</w:t>
      </w:r>
    </w:p>
    <w:p w14:paraId="31131A60" w14:textId="77777777" w:rsidR="00575562" w:rsidRPr="00E473E3" w:rsidRDefault="00575562" w:rsidP="00575562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NO-17-A501: 2015 Nawierzchnie lotniskowe - Badania szorstkości.</w:t>
      </w:r>
    </w:p>
    <w:p w14:paraId="44E7922B" w14:textId="77777777" w:rsidR="00575562" w:rsidRPr="00E473E3" w:rsidRDefault="00575562" w:rsidP="00575562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NO-17-A502: 2015 Nawierzchnie lotniskowe - Badania równości.</w:t>
      </w:r>
    </w:p>
    <w:p w14:paraId="02DF456E" w14:textId="77777777" w:rsidR="00575562" w:rsidRPr="00E473E3" w:rsidRDefault="00575562" w:rsidP="00575562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E473E3">
        <w:rPr>
          <w:rFonts w:ascii="Arial" w:hAnsi="Arial" w:cs="Arial"/>
          <w:sz w:val="24"/>
        </w:rPr>
        <w:t>NO-17-A503: 2017 Nawierzchnie lotniskowe. Naturalne nawierzchnie lotniskowe. Badania nośności.</w:t>
      </w:r>
    </w:p>
    <w:p w14:paraId="4A773D37" w14:textId="77777777" w:rsidR="00000000" w:rsidRPr="00E473E3" w:rsidRDefault="00000000"/>
    <w:sectPr w:rsidR="00092666" w:rsidRPr="00E473E3" w:rsidSect="00575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8D670" w14:textId="77777777" w:rsidR="00FD2BE0" w:rsidRDefault="00FD2BE0" w:rsidP="00575562">
      <w:pPr>
        <w:spacing w:after="0" w:line="240" w:lineRule="auto"/>
      </w:pPr>
      <w:r>
        <w:separator/>
      </w:r>
    </w:p>
  </w:endnote>
  <w:endnote w:type="continuationSeparator" w:id="0">
    <w:p w14:paraId="31989BCA" w14:textId="77777777" w:rsidR="00FD2BE0" w:rsidRDefault="00FD2BE0" w:rsidP="0057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08EA" w14:textId="77777777" w:rsidR="005F6A93" w:rsidRDefault="005F6A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40D8" w14:textId="77777777" w:rsidR="00575562" w:rsidRPr="00575562" w:rsidRDefault="00575562" w:rsidP="00575562">
    <w:pPr>
      <w:pStyle w:val="Stopka"/>
      <w:jc w:val="right"/>
      <w:rPr>
        <w:rFonts w:ascii="Arial" w:hAnsi="Arial" w:cs="Arial"/>
        <w:sz w:val="20"/>
        <w:szCs w:val="20"/>
      </w:rPr>
    </w:pPr>
    <w:r w:rsidRPr="00575562">
      <w:rPr>
        <w:rFonts w:ascii="Arial" w:hAnsi="Arial" w:cs="Arial"/>
        <w:sz w:val="20"/>
        <w:szCs w:val="20"/>
      </w:rPr>
      <w:t xml:space="preserve">str. </w:t>
    </w:r>
    <w:r w:rsidRPr="00575562">
      <w:rPr>
        <w:rFonts w:ascii="Arial" w:hAnsi="Arial" w:cs="Arial"/>
        <w:sz w:val="20"/>
        <w:szCs w:val="20"/>
      </w:rPr>
      <w:fldChar w:fldCharType="begin"/>
    </w:r>
    <w:r w:rsidRPr="00575562">
      <w:rPr>
        <w:rFonts w:ascii="Arial" w:hAnsi="Arial" w:cs="Arial"/>
        <w:sz w:val="20"/>
        <w:szCs w:val="20"/>
      </w:rPr>
      <w:instrText>PAGE   \* MERGEFORMAT</w:instrText>
    </w:r>
    <w:r w:rsidRPr="00575562">
      <w:rPr>
        <w:rFonts w:ascii="Arial" w:hAnsi="Arial" w:cs="Arial"/>
        <w:sz w:val="20"/>
        <w:szCs w:val="20"/>
      </w:rPr>
      <w:fldChar w:fldCharType="separate"/>
    </w:r>
    <w:r w:rsidR="006F11B8">
      <w:rPr>
        <w:rFonts w:ascii="Arial" w:hAnsi="Arial" w:cs="Arial"/>
        <w:noProof/>
        <w:sz w:val="20"/>
        <w:szCs w:val="20"/>
      </w:rPr>
      <w:t>1</w:t>
    </w:r>
    <w:r w:rsidRPr="00575562">
      <w:rPr>
        <w:rFonts w:ascii="Arial" w:hAnsi="Arial" w:cs="Arial"/>
        <w:sz w:val="20"/>
        <w:szCs w:val="20"/>
      </w:rPr>
      <w:fldChar w:fldCharType="end"/>
    </w:r>
    <w:r w:rsidRPr="00575562">
      <w:rPr>
        <w:rFonts w:ascii="Arial" w:hAnsi="Arial" w:cs="Arial"/>
        <w:sz w:val="20"/>
        <w:szCs w:val="20"/>
      </w:rPr>
      <w:t>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B2C3" w14:textId="77777777" w:rsidR="005F6A93" w:rsidRDefault="005F6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D1F4A" w14:textId="77777777" w:rsidR="00FD2BE0" w:rsidRDefault="00FD2BE0" w:rsidP="00575562">
      <w:pPr>
        <w:spacing w:after="0" w:line="240" w:lineRule="auto"/>
      </w:pPr>
      <w:r>
        <w:separator/>
      </w:r>
    </w:p>
  </w:footnote>
  <w:footnote w:type="continuationSeparator" w:id="0">
    <w:p w14:paraId="50B10788" w14:textId="77777777" w:rsidR="00FD2BE0" w:rsidRDefault="00FD2BE0" w:rsidP="0057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3785" w14:textId="77777777" w:rsidR="005F6A93" w:rsidRDefault="005F6A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FD31" w14:textId="77777777" w:rsidR="005F6A93" w:rsidRDefault="005F6A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92F0" w14:textId="77777777" w:rsidR="005F6A93" w:rsidRDefault="005F6A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429A8"/>
    <w:multiLevelType w:val="hybridMultilevel"/>
    <w:tmpl w:val="4DFAD970"/>
    <w:lvl w:ilvl="0" w:tplc="20BC1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E074E"/>
    <w:multiLevelType w:val="hybridMultilevel"/>
    <w:tmpl w:val="20C0AC0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E706E"/>
    <w:multiLevelType w:val="hybridMultilevel"/>
    <w:tmpl w:val="4DFAD970"/>
    <w:lvl w:ilvl="0" w:tplc="20BC1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394161">
    <w:abstractNumId w:val="1"/>
  </w:num>
  <w:num w:numId="2" w16cid:durableId="1559516857">
    <w:abstractNumId w:val="2"/>
  </w:num>
  <w:num w:numId="3" w16cid:durableId="88355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562"/>
    <w:rsid w:val="000317D8"/>
    <w:rsid w:val="00037B25"/>
    <w:rsid w:val="000B0F8B"/>
    <w:rsid w:val="001A6D4A"/>
    <w:rsid w:val="001D5FB5"/>
    <w:rsid w:val="00286FD8"/>
    <w:rsid w:val="00486C27"/>
    <w:rsid w:val="00575562"/>
    <w:rsid w:val="005F6A93"/>
    <w:rsid w:val="006F11B8"/>
    <w:rsid w:val="00871FE3"/>
    <w:rsid w:val="00916BBD"/>
    <w:rsid w:val="00942BA1"/>
    <w:rsid w:val="00A57CC2"/>
    <w:rsid w:val="00A57EA9"/>
    <w:rsid w:val="00C03FDF"/>
    <w:rsid w:val="00C33756"/>
    <w:rsid w:val="00C74BA7"/>
    <w:rsid w:val="00D53582"/>
    <w:rsid w:val="00E473E3"/>
    <w:rsid w:val="00FD2BE0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9A60"/>
  <w15:chartTrackingRefBased/>
  <w15:docId w15:val="{52FE6EE5-F8DF-419E-BB7A-B832448E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562"/>
  </w:style>
  <w:style w:type="paragraph" w:styleId="Nagwek2">
    <w:name w:val="heading 2"/>
    <w:basedOn w:val="Normalny"/>
    <w:next w:val="Normalny"/>
    <w:link w:val="Nagwek2Znak"/>
    <w:qFormat/>
    <w:rsid w:val="0057556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562"/>
  </w:style>
  <w:style w:type="paragraph" w:styleId="Stopka">
    <w:name w:val="footer"/>
    <w:basedOn w:val="Normalny"/>
    <w:link w:val="StopkaZnak"/>
    <w:uiPriority w:val="99"/>
    <w:unhideWhenUsed/>
    <w:rsid w:val="0057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562"/>
  </w:style>
  <w:style w:type="character" w:customStyle="1" w:styleId="Nagwek2Znak">
    <w:name w:val="Nagłówek 2 Znak"/>
    <w:basedOn w:val="Domylnaczcionkaakapitu"/>
    <w:link w:val="Nagwek2"/>
    <w:rsid w:val="005755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575562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575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ak5jNVhFL0g0NW9qcUg1MWluRHl0VTBPZ2RGcXQw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G/vfoRq3ZWM11I76TC5ROKS/GqxNboRCWHXof+dZFco=</DigestValue>
      </Reference>
      <Reference URI="#INFO">
        <DigestMethod Algorithm="http://www.w3.org/2001/04/xmlenc#sha256"/>
        <DigestValue>ItQD+DmIrgbgHojm4T4TBw5HcN8N2idQKgMVZsoXiZk=</DigestValue>
      </Reference>
    </SignedInfo>
    <SignatureValue>UfdNxrqDZStgMXXM9cag3+pLBGkPL/9WGWxkGx0+Af/AP75rjDp+SwScCbGx9K+9/qVi7xmCQQbWRg9KkBFKdA==</SignatureValue>
    <Object Id="INFO">
      <ArrayOfString xmlns:xsd="http://www.w3.org/2001/XMLSchema" xmlns:xsi="http://www.w3.org/2001/XMLSchema-instance" xmlns="">
        <string>bjNc5XE/H45ojqH51inDytU0OgdFqt0o</string>
      </ArrayOfString>
    </Object>
  </Signature>
</WrappedLabelInfo>
</file>

<file path=customXml/itemProps1.xml><?xml version="1.0" encoding="utf-8"?>
<ds:datastoreItem xmlns:ds="http://schemas.openxmlformats.org/officeDocument/2006/customXml" ds:itemID="{0752F274-4641-48D4-84B8-B5B94483AF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BB8243-DF86-48F5-99AF-4097FAFAEC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743</Words>
  <Characters>4533</Characters>
  <Application>Microsoft Office Word</Application>
  <DocSecurity>0</DocSecurity>
  <Lines>91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10</cp:revision>
  <dcterms:created xsi:type="dcterms:W3CDTF">2023-01-11T14:59:00Z</dcterms:created>
  <dcterms:modified xsi:type="dcterms:W3CDTF">2026-04-01T05:23:00Z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325f34d8-c98c-4660-a204-1e578a132294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